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1" w:rsidRDefault="00EB11F1" w:rsidP="00E7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76">
        <w:rPr>
          <w:rFonts w:ascii="Times New Roman" w:hAnsi="Times New Roman" w:cs="Times New Roman"/>
          <w:b/>
          <w:sz w:val="24"/>
          <w:szCs w:val="24"/>
        </w:rPr>
        <w:t>Проект изменений и дополнений в Коллективный договор</w:t>
      </w:r>
    </w:p>
    <w:p w:rsidR="00E70776" w:rsidRPr="00E70776" w:rsidRDefault="00E70776" w:rsidP="00E7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4911"/>
        <w:gridCol w:w="6003"/>
        <w:gridCol w:w="2977"/>
      </w:tblGrid>
      <w:tr w:rsidR="00585F9F" w:rsidRPr="00D1531E" w:rsidTr="00B92263">
        <w:tc>
          <w:tcPr>
            <w:tcW w:w="1101" w:type="dxa"/>
          </w:tcPr>
          <w:p w:rsidR="00585F9F" w:rsidRPr="00D1531E" w:rsidRDefault="00585F9F" w:rsidP="00E7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4911" w:type="dxa"/>
          </w:tcPr>
          <w:p w:rsidR="00585F9F" w:rsidRPr="00D1531E" w:rsidRDefault="00383681" w:rsidP="00E7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bookmarkStart w:id="0" w:name="_GoBack"/>
            <w:bookmarkEnd w:id="0"/>
            <w:r w:rsidR="00585F9F" w:rsidRPr="00D15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  <w:tc>
          <w:tcPr>
            <w:tcW w:w="6003" w:type="dxa"/>
          </w:tcPr>
          <w:p w:rsidR="00585F9F" w:rsidRPr="00D1531E" w:rsidRDefault="00585F9F" w:rsidP="00E7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  <w:tc>
          <w:tcPr>
            <w:tcW w:w="2977" w:type="dxa"/>
          </w:tcPr>
          <w:p w:rsidR="00585F9F" w:rsidRPr="00D1531E" w:rsidRDefault="00585F9F" w:rsidP="00E7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5F9F" w:rsidRPr="00E70776" w:rsidTr="00B92263">
        <w:tc>
          <w:tcPr>
            <w:tcW w:w="1101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11" w:type="dxa"/>
          </w:tcPr>
          <w:p w:rsidR="00585F9F" w:rsidRPr="00E70776" w:rsidRDefault="00585F9F" w:rsidP="00E70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Действие иных положений Коллективного договора распространяется на работников, от имени которых он не заключался, при условии, что они выразят согласие на это в письменной форме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957CF" w:rsidRPr="00E70776" w:rsidRDefault="00585F9F" w:rsidP="00E707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Действие положений Коллективного договора, </w:t>
            </w:r>
            <w:r w:rsidR="00E91994"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предусмотренных пунктами </w:t>
            </w:r>
            <w:r w:rsidR="00553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2.1.21., 4.1.3., </w:t>
            </w:r>
            <w:r w:rsidR="00E91994"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4.1.5., 4.1.7., 4.1.9., 4.1.10, 4.1.15., 4.1.20., 4.1.24, 4.1.27., 5.1.12., 6.2.6., 6.2.8., 7.1.5., 7.1.7.,  7.2.2., 7.2.4., 7.3.15., 7.3.16</w:t>
            </w: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применяется только в отношении членов профсоюза</w:t>
            </w:r>
            <w:r w:rsidR="00F957CF"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F957CF" w:rsidRPr="00E70776" w:rsidRDefault="00F957CF" w:rsidP="00E70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Действие иных положений Коллективного договора распространяется на работников, от имени которых он не заключался, при условии, что они выразят согласие на это в письменной форме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5F9F" w:rsidRPr="00E70776" w:rsidRDefault="00585F9F" w:rsidP="00390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Работники организации, не являющиеся членами профсоюза, не вправе претендовать на гарантии и льготы, защиту трудовых прав и законных интересов, предоставляемые профсоюзом. </w:t>
            </w:r>
          </w:p>
        </w:tc>
        <w:tc>
          <w:tcPr>
            <w:tcW w:w="2977" w:type="dxa"/>
          </w:tcPr>
          <w:p w:rsidR="00585F9F" w:rsidRPr="00E70776" w:rsidRDefault="00585F9F" w:rsidP="00E707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51 Соглашения между главным управлением образования Гродненского областного исполнительного ко</w:t>
            </w:r>
            <w:r w:rsidR="00B92263"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итета</w:t>
            </w:r>
            <w:r w:rsidR="00B92263"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Гродненской областной организацией Белорусского профессионального союза работников  образования и науки на 2019-2022 годы</w:t>
            </w:r>
          </w:p>
        </w:tc>
      </w:tr>
      <w:tr w:rsidR="00585F9F" w:rsidRPr="00E70776" w:rsidTr="00B92263">
        <w:tc>
          <w:tcPr>
            <w:tcW w:w="1101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4911" w:type="dxa"/>
          </w:tcPr>
          <w:p w:rsidR="00585F9F" w:rsidRPr="00E70776" w:rsidRDefault="00585F9F" w:rsidP="00E70776">
            <w:pPr>
              <w:tabs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Оказывать семье погибшего на производстве по вине Нанимателя работника, помимо установленного законодательством возмещения ущерба, единовременную материальную помощь из средств Нанимателя в размере 10 годовых заработных плат погибшего, исчисленных по заработку за год от месяца, предшествовавшего несчастному случаю, а работнику, утратившему профессиональную трудоспособность по вине Нанимателя в результате несчастного случая на производстве, - единовременную материальную помощь в размере одного среднемесячного заработка за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процент утраты профессиональной трудоспособности. Выплачиваемая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      </w:r>
          </w:p>
          <w:p w:rsidR="00585F9F" w:rsidRPr="00E70776" w:rsidRDefault="00585F9F" w:rsidP="00E70776">
            <w:pPr>
              <w:tabs>
                <w:tab w:val="left" w:pos="1560"/>
              </w:tabs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</w:t>
            </w: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и 6 статьи 42</w:t>
            </w: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Республики Беларусь, Наниматель выплачивает выходное пособие в размере одного среднемесячного заработка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3" w:type="dxa"/>
          </w:tcPr>
          <w:p w:rsidR="006C5E88" w:rsidRPr="00E70776" w:rsidRDefault="006C5E88" w:rsidP="00E70776">
            <w:pPr>
              <w:tabs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семье погибшего на производстве по вине Нанимателя работника, помимо установленного законодательством возмещения ущерба, единовременную материальную помощь из средств Нанимателя в размере 10 годовых заработных плат погибшего, исчисленных по заработку за год от месяца, предшествовавшего несчастному случаю, а работнику, утратившему профессиональную трудоспособность по вине Нанимателя в результате несчастного случая на производстве, - единовременную материальную помощь в размере одного среднемесячного заработка за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      </w:r>
          </w:p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Лицам, получившим трудовое увечье или профессиональное заболевание, при прекращении трудового договора (контракта) по основаниям, предусмотренным </w:t>
            </w: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пунктами 3 и 5 статьи 42 Трудового кодекса Республики Беларусь</w:t>
            </w: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Наниматель выплачивает выходное пособие в размере одного среднемесячного заработка.</w:t>
            </w:r>
          </w:p>
        </w:tc>
        <w:tc>
          <w:tcPr>
            <w:tcW w:w="2977" w:type="dxa"/>
          </w:tcPr>
          <w:p w:rsidR="00585F9F" w:rsidRPr="00E70776" w:rsidRDefault="00330FDD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48 Трудового кодекса РБ</w:t>
            </w:r>
          </w:p>
        </w:tc>
      </w:tr>
      <w:tr w:rsidR="00585F9F" w:rsidRPr="00E70776" w:rsidTr="00B92263">
        <w:tc>
          <w:tcPr>
            <w:tcW w:w="1101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4911" w:type="dxa"/>
          </w:tcPr>
          <w:p w:rsidR="00585F9F" w:rsidRPr="00E70776" w:rsidRDefault="00585F9F" w:rsidP="00E7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 с сохранением среднего дневного заработка за счет средств Нанимателя при условии, что они заняты на работе каждый день в течение полной пятидневной или шестидневной рабочей недели, продолжительность которой установлена в соответствии со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статьями 111-114 Трудового кодекса Республики Беларусь, и дети воспитываются и проживают в семье. Не допускается перенос и суммирование этих дней для дальнейшего предоставления их в совокупности</w:t>
            </w:r>
          </w:p>
        </w:tc>
        <w:tc>
          <w:tcPr>
            <w:tcW w:w="6003" w:type="dxa"/>
          </w:tcPr>
          <w:p w:rsidR="00585F9F" w:rsidRPr="00E70776" w:rsidRDefault="00585F9F" w:rsidP="00E7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 </w:t>
            </w: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без сохранения заработной платы, </w:t>
            </w:r>
            <w:r w:rsidRPr="00E70776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при условии, что они заняты на работе каждый день в течение полной пятидневной или шестидневной рабочей недели, продолжительность которой установлена в соответствии со статьями 111-114 Трудового кодекса Республики</w:t>
            </w:r>
            <w:proofErr w:type="gramEnd"/>
            <w:r w:rsidRPr="00E70776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 xml:space="preserve"> Беларусь, и дети воспитываются и проживают в семье</w:t>
            </w:r>
            <w:r w:rsidRPr="00E70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7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допускается перенос и суммирование этих дней для дальнейшего предоставления их в совокупности.</w:t>
            </w:r>
          </w:p>
        </w:tc>
        <w:tc>
          <w:tcPr>
            <w:tcW w:w="2977" w:type="dxa"/>
          </w:tcPr>
          <w:p w:rsidR="00585F9F" w:rsidRPr="00E70776" w:rsidRDefault="00330FDD" w:rsidP="0039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06AE">
              <w:rPr>
                <w:rFonts w:ascii="Times New Roman" w:hAnsi="Times New Roman" w:cs="Times New Roman"/>
                <w:sz w:val="24"/>
                <w:szCs w:val="24"/>
              </w:rPr>
              <w:t>т. 265 Трудового кодекса РБ</w:t>
            </w:r>
          </w:p>
        </w:tc>
      </w:tr>
      <w:tr w:rsidR="00585F9F" w:rsidRPr="00E70776" w:rsidTr="00B92263">
        <w:tc>
          <w:tcPr>
            <w:tcW w:w="1101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4911" w:type="dxa"/>
          </w:tcPr>
          <w:p w:rsidR="00585F9F" w:rsidRPr="00E70776" w:rsidRDefault="00585F9F" w:rsidP="00E70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дополнительное добровольное страхование медицинских расходов, а также медицинское обслуживание работников 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предусмотренных 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сметой средств Нанимателя в соответствии с локальными нормативными правовыми актами.</w:t>
            </w:r>
          </w:p>
        </w:tc>
        <w:tc>
          <w:tcPr>
            <w:tcW w:w="6003" w:type="dxa"/>
          </w:tcPr>
          <w:p w:rsidR="00585F9F" w:rsidRPr="00E70776" w:rsidRDefault="00585F9F" w:rsidP="00E707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дополнительное добровольное страхование медицинских расходов, а также медицинское обслуживание работников 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предусмотренных сметой средств Нанимателя в 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локальными </w:t>
            </w:r>
            <w:r w:rsidRPr="00E70776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нормативными</w:t>
            </w:r>
            <w:r w:rsidRPr="00E707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правовыми актами.</w:t>
            </w:r>
          </w:p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F9F" w:rsidRPr="00E70776" w:rsidRDefault="00585F9F" w:rsidP="00E707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F9F" w:rsidRPr="00E70776" w:rsidTr="00B92263">
        <w:tc>
          <w:tcPr>
            <w:tcW w:w="1101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7.3.5.</w:t>
            </w:r>
          </w:p>
        </w:tc>
        <w:tc>
          <w:tcPr>
            <w:tcW w:w="4911" w:type="dxa"/>
          </w:tcPr>
          <w:p w:rsidR="00A30B80" w:rsidRPr="00E70776" w:rsidRDefault="00A30B80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 w:rsidR="00585F9F" w:rsidRPr="00E70776">
              <w:rPr>
                <w:rFonts w:ascii="Times New Roman" w:hAnsi="Times New Roman" w:cs="Times New Roman"/>
                <w:sz w:val="24"/>
                <w:szCs w:val="24"/>
              </w:rPr>
              <w:t>общежити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ями смешанного типа (</w:t>
            </w:r>
            <w:r w:rsidR="006D5A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одиноких граждан и семей)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1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Социалистическая, 66);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2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27);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3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БЛК, 3);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4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Пролетарская, 16);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5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Лиможа, 27 корпус 1).</w:t>
            </w:r>
          </w:p>
          <w:p w:rsidR="00585F9F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В общежитиях смешанного типа с согласия местных исполнительных и распорядительных органов могут быть выделены жилые помещения для проживания семей обучающихся, работников и других лиц.</w:t>
            </w:r>
          </w:p>
        </w:tc>
        <w:tc>
          <w:tcPr>
            <w:tcW w:w="6003" w:type="dxa"/>
          </w:tcPr>
          <w:p w:rsidR="00A30B80" w:rsidRPr="00E70776" w:rsidRDefault="00A30B80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Признать общежитиями смешанного типа (</w:t>
            </w:r>
            <w:r w:rsidR="006D5A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одиноких граждан и семей)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1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Социалистическая, 66);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2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27);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3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БЛК, 3);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4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Пролетарская, 16);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 5 (</w:t>
            </w:r>
            <w:proofErr w:type="spell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>, ул. Лиможа, 27 корпус 1);</w:t>
            </w:r>
          </w:p>
          <w:p w:rsidR="00A30B80" w:rsidRPr="00E70776" w:rsidRDefault="00A30B80" w:rsidP="00E70776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№ 6 (</w:t>
            </w:r>
            <w:proofErr w:type="spellStart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родно</w:t>
            </w:r>
            <w:proofErr w:type="spellEnd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Дубко</w:t>
            </w:r>
            <w:proofErr w:type="spellEnd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, 20).</w:t>
            </w:r>
          </w:p>
          <w:p w:rsidR="00585F9F" w:rsidRPr="00E70776" w:rsidRDefault="00A30B80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общежитиях смешанного типа с согласия местных исполнительных и распорядительных органов могут быть выделены жилые помещения для проживания семей обучающихся, работников и других лиц. </w:t>
            </w:r>
          </w:p>
        </w:tc>
        <w:tc>
          <w:tcPr>
            <w:tcW w:w="2977" w:type="dxa"/>
          </w:tcPr>
          <w:p w:rsidR="00585F9F" w:rsidRPr="00E70776" w:rsidRDefault="00585F9F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AB" w:rsidRPr="0028458B" w:rsidTr="00B92263">
        <w:tc>
          <w:tcPr>
            <w:tcW w:w="1101" w:type="dxa"/>
          </w:tcPr>
          <w:p w:rsidR="004961AB" w:rsidRPr="0028458B" w:rsidRDefault="004961AB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8B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911" w:type="dxa"/>
          </w:tcPr>
          <w:p w:rsidR="004961AB" w:rsidRPr="0028458B" w:rsidRDefault="004961AB" w:rsidP="004961A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8458B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Стороны пришли к соглашению:</w:t>
            </w:r>
          </w:p>
          <w:p w:rsidR="004961AB" w:rsidRPr="0028458B" w:rsidRDefault="004961AB" w:rsidP="004961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458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Систематический контроль за выполнением Коллективного договора осуществляют Профком, Наниматель, комиссия по контролю за выполнением Коллективного договора. </w:t>
            </w:r>
          </w:p>
          <w:p w:rsidR="004961AB" w:rsidRPr="0028458B" w:rsidRDefault="004961AB" w:rsidP="00E7077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</w:tcPr>
          <w:p w:rsidR="004961AB" w:rsidRPr="0028458B" w:rsidRDefault="004961AB" w:rsidP="004961A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458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Систематический контроль за выполнением Коллективного договора осуществляют Профком, Наниматель, комиссия по контролю за выполнением Коллективного договора. </w:t>
            </w:r>
          </w:p>
          <w:p w:rsidR="004961AB" w:rsidRPr="0028458B" w:rsidRDefault="004961AB" w:rsidP="00496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омисси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по контролю </w:t>
            </w:r>
            <w:r w:rsid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за 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выполнением Коллективного </w:t>
            </w:r>
            <w:r w:rsid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договора </w:t>
            </w:r>
            <w:r w:rsidR="007E27A4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в случае 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выявлени</w:t>
            </w:r>
            <w:r w:rsidR="007E27A4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нарушени</w:t>
            </w:r>
            <w:r w:rsid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информирует 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Профком и Нанимателя в течение 7 календарных дней с даты выявления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. Сторон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Коллективного договора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, допустившая нарушение 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Коллективного </w:t>
            </w:r>
            <w:r w:rsid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договора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, обязана предпринять меры по </w:t>
            </w:r>
            <w:r w:rsidR="00DF3AE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его </w:t>
            </w:r>
            <w:r w:rsidR="0028458B"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устранению и уведомить об этом вторую сторону.</w:t>
            </w:r>
            <w:r w:rsidRPr="0028458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4961AB" w:rsidRPr="0028458B" w:rsidRDefault="004961AB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1AB" w:rsidRPr="0028458B" w:rsidRDefault="004961AB" w:rsidP="00E7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50" w:rsidRDefault="006D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308" w:rsidRDefault="007F2308" w:rsidP="00E7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76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Коллективному договору</w:t>
      </w:r>
    </w:p>
    <w:p w:rsidR="006D5A50" w:rsidRPr="00E70776" w:rsidRDefault="006D5A50" w:rsidP="00E70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7F2308" w:rsidRPr="00E70776" w:rsidTr="007E789A">
        <w:tc>
          <w:tcPr>
            <w:tcW w:w="15134" w:type="dxa"/>
          </w:tcPr>
          <w:p w:rsidR="00593EF4" w:rsidRPr="00E70776" w:rsidRDefault="007F2308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 1</w:t>
            </w:r>
          </w:p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Положение о стимулирующих выплатах работникам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3EF4" w:rsidRPr="00E70776" w:rsidTr="007E789A">
        <w:tc>
          <w:tcPr>
            <w:tcW w:w="15134" w:type="dxa"/>
          </w:tcPr>
          <w:p w:rsidR="00593EF4" w:rsidRPr="00E70776" w:rsidRDefault="00593EF4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Приложения </w:t>
            </w:r>
            <w:r w:rsidR="00A06EC7"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3EF4" w:rsidRPr="00E70776" w:rsidRDefault="00593EF4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оказании материальной помощи и единовременной выплате на оздоровление работникам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5252B0" w:rsidRDefault="005252B0" w:rsidP="00525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3EF4" w:rsidRPr="005252B0" w:rsidRDefault="005252B0" w:rsidP="00525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моральном и материальном стимулировании работников учреждения образования «Гродненский государственный университет имени Янки Купалы» за экономию и рациональное использование топливно-энергетических и материальных ресурсов, за сбор и сдачу лома и отходов черных и цветных металлов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 4</w:t>
            </w:r>
            <w:r w:rsidR="00156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Новая редакция</w:t>
            </w:r>
          </w:p>
          <w:p w:rsidR="001C2730" w:rsidRPr="00C16D07" w:rsidRDefault="007F2308" w:rsidP="001562E9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Положение о </w:t>
            </w:r>
            <w:r w:rsidR="005252B0"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порядке улучшения жилищных условий </w:t>
            </w:r>
            <w:r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работников учреждения образования «Гродненский государственный университет имени Янки Купалы» 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A06EC7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  <w:t>Отменить действие</w:t>
            </w: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="007F2308"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5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Положение о выделении путевок на оздоровление и санаторно-курортное лечение работникам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Приложение 6 </w:t>
            </w:r>
            <w:r w:rsidR="0046109E"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  <w:t>в новой редакции</w:t>
            </w:r>
          </w:p>
          <w:p w:rsidR="007F2308" w:rsidRPr="00C16D07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Порядок представления работников учреждения образования «Гродненский государственный университет имени Янки Купалы»</w:t>
            </w:r>
            <w:r w:rsidR="00C752EB"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и иных лиц</w:t>
            </w:r>
            <w:r w:rsidRPr="00C16D07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к поощрениям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7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Перечень должностей (профессий) структурных подразделений, для которых по условиям работы применяется суммированный учет рабочего времени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8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Перечень профессий и должностей работников</w:t>
            </w:r>
            <w:r w:rsidR="00C44B73"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C44B7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включая обособленные структурные подразделения,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которым бесплатно выдаются средства индивидуальной защиты по установленным нормам.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9</w:t>
            </w:r>
          </w:p>
          <w:p w:rsidR="007F2308" w:rsidRPr="00E70776" w:rsidRDefault="007F2308" w:rsidP="00C44B73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Перечень профессий и должностей работников</w:t>
            </w:r>
            <w:r w:rsidR="00C44B73"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C44B73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в том числе обособленных структурных подразделений,</w:t>
            </w:r>
            <w:r w:rsidR="00C44B73"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10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Перечень профессий и должностей работников</w:t>
            </w:r>
            <w:r w:rsidR="00C44B73"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, которым по результатам аттестации рабочих мест по условиям труда предоставляется дополнительный отпуск за работу с вредными и (или) опасными условиями труда и дополнительный отпуск за особый характер работ.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lastRenderedPageBreak/>
              <w:t>Приложение 11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Перечень профессий и должностей работников</w:t>
            </w:r>
            <w:r w:rsidR="00C44B73"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, которым по результатам аттестации рабочих мест по условиям труда установлены доплаты за работу с вредными и (или) опасными условиями труда.</w:t>
            </w:r>
          </w:p>
        </w:tc>
      </w:tr>
      <w:tr w:rsidR="007F2308" w:rsidRPr="00E70776" w:rsidTr="007E789A">
        <w:tc>
          <w:tcPr>
            <w:tcW w:w="15134" w:type="dxa"/>
          </w:tcPr>
          <w:p w:rsidR="00C752EB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12</w:t>
            </w:r>
            <w:r w:rsidR="00C752EB"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План мероприятий по охране труда на 202</w:t>
            </w:r>
            <w:r w:rsidR="00C752EB"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 13</w:t>
            </w:r>
          </w:p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звании «Ветеран 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труда Гродненского государственного университета имени Янки Купалы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 14</w:t>
            </w:r>
          </w:p>
          <w:p w:rsidR="007F2308" w:rsidRPr="00E70776" w:rsidRDefault="007F2308" w:rsidP="00E7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звании «Почетный ветеран 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труда Гродненского государственного университета имени Янки Купалы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31E" w:rsidRPr="00E70776" w:rsidTr="007E789A">
        <w:tc>
          <w:tcPr>
            <w:tcW w:w="15134" w:type="dxa"/>
          </w:tcPr>
          <w:p w:rsidR="00D1531E" w:rsidRPr="00E70776" w:rsidRDefault="00D1531E" w:rsidP="00D15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Приложения 15 </w:t>
            </w:r>
          </w:p>
          <w:p w:rsidR="00D1531E" w:rsidRPr="005252B0" w:rsidRDefault="00D1531E" w:rsidP="00D1531E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252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Положение о премировании работников </w:t>
            </w:r>
            <w:r w:rsidRPr="005252B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D1531E" w:rsidRPr="00E70776" w:rsidRDefault="00D1531E" w:rsidP="00D1531E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Пункт 2.1. изложить в следующей редакции:</w:t>
            </w:r>
          </w:p>
          <w:p w:rsidR="00D1531E" w:rsidRPr="00E70776" w:rsidRDefault="00D1531E" w:rsidP="00D1531E">
            <w:pPr>
              <w:numPr>
                <w:ilvl w:val="1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Премиальный фонд формируется:</w:t>
            </w:r>
          </w:p>
          <w:p w:rsidR="005252B0" w:rsidRDefault="00D1531E" w:rsidP="005252B0">
            <w:pPr>
              <w:pStyle w:val="a4"/>
              <w:numPr>
                <w:ilvl w:val="2"/>
                <w:numId w:val="1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и внебюджетных средств от приносящей доходы деятельности в размере 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от суммы окладов работников;</w:t>
            </w:r>
          </w:p>
          <w:p w:rsidR="00D1531E" w:rsidRPr="005252B0" w:rsidRDefault="00D1531E" w:rsidP="005252B0">
            <w:pPr>
              <w:pStyle w:val="a4"/>
              <w:numPr>
                <w:ilvl w:val="2"/>
                <w:numId w:val="1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B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</w:t>
            </w:r>
            <w:proofErr w:type="gramStart"/>
            <w:r w:rsidRPr="005252B0">
              <w:rPr>
                <w:rFonts w:ascii="Times New Roman" w:hAnsi="Times New Roman" w:cs="Times New Roman"/>
                <w:sz w:val="24"/>
                <w:szCs w:val="24"/>
              </w:rPr>
              <w:t>дств в ч</w:t>
            </w:r>
            <w:proofErr w:type="gramEnd"/>
            <w:r w:rsidRPr="005252B0">
              <w:rPr>
                <w:rFonts w:ascii="Times New Roman" w:hAnsi="Times New Roman" w:cs="Times New Roman"/>
                <w:sz w:val="24"/>
                <w:szCs w:val="24"/>
              </w:rPr>
              <w:t>асти сумм превышения доходов над расходами, остающихся в распоряжении университета, при условии отсутствия просроченной кредиторской задолженности по платежам в бюджет, государственные внебюджетные фонды, оплате за товары (работы, услуги).</w:t>
            </w:r>
          </w:p>
        </w:tc>
      </w:tr>
      <w:tr w:rsidR="007F2308" w:rsidRPr="00E70776" w:rsidTr="007E789A">
        <w:tc>
          <w:tcPr>
            <w:tcW w:w="15134" w:type="dxa"/>
          </w:tcPr>
          <w:p w:rsidR="00345A87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16</w:t>
            </w:r>
            <w:r w:rsid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(новая редакция)</w:t>
            </w:r>
          </w:p>
          <w:p w:rsidR="00345A87" w:rsidRPr="0081070C" w:rsidRDefault="00345A87" w:rsidP="0081070C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Положение о премировании работников Г</w:t>
            </w: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val="be-BY" w:eastAsia="ru-RU"/>
              </w:rPr>
              <w:t xml:space="preserve">уманитарного колледжа </w:t>
            </w: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81070C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17</w:t>
            </w:r>
            <w:r w:rsid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(</w:t>
            </w:r>
            <w:r w:rsid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новая редакция)</w:t>
            </w:r>
          </w:p>
          <w:p w:rsidR="007F2308" w:rsidRPr="00E70776" w:rsidRDefault="00345A87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Положение о стимулирующих выплатах работникам Г</w:t>
            </w: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val="be-BY" w:eastAsia="ru-RU"/>
              </w:rPr>
              <w:t>уманитарного колледжа</w:t>
            </w: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Приложение 18 </w:t>
            </w:r>
            <w:r w:rsidR="0081070C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(новая редакция)</w:t>
            </w:r>
          </w:p>
          <w:p w:rsidR="007F2308" w:rsidRPr="0081070C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1070C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Положение об оказании материальной помощи и единовременной выплате работникам Гуманитарного колледжа 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C752EB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19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порядке и условиях премирования работников Волковысского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345A87" w:rsidRPr="00E70776" w:rsidRDefault="00345A87" w:rsidP="00E70776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Раздел 2 изложить в следующей редакции:</w:t>
            </w:r>
          </w:p>
          <w:p w:rsidR="00345A87" w:rsidRPr="00E70776" w:rsidRDefault="00345A87" w:rsidP="00E70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«Источниками средств, направленных на премирование, являются:</w:t>
            </w:r>
          </w:p>
          <w:p w:rsidR="0004613E" w:rsidRPr="00E70776" w:rsidRDefault="0004613E" w:rsidP="00E70776">
            <w:pPr>
              <w:pStyle w:val="a4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а, выделяемые на премирование работников в размере 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от суммы окладов работников;</w:t>
            </w:r>
          </w:p>
          <w:p w:rsidR="00345A87" w:rsidRPr="00E70776" w:rsidRDefault="0004613E" w:rsidP="00E70776">
            <w:pPr>
              <w:pStyle w:val="a4"/>
              <w:numPr>
                <w:ilvl w:val="1"/>
                <w:numId w:val="6"/>
              </w:numPr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от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ой деятельности колледжа в размерах, предусмотренных законодательством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lastRenderedPageBreak/>
              <w:t>Приложение 20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45A87" w:rsidRPr="00E70776" w:rsidRDefault="00345A87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оказании материальной помощи и единовременной выплате работникам Волковысского колледжа  учреждения образования «Гродненский государственный университет имени Янки Купалы»</w:t>
            </w:r>
          </w:p>
          <w:p w:rsidR="0004613E" w:rsidRPr="00E70776" w:rsidRDefault="0004613E" w:rsidP="00E70776">
            <w:pPr>
              <w:pStyle w:val="ConsPlus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45A87"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="00345A87"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1.3.5. 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абзацем 2 следующего содержания:</w:t>
            </w:r>
          </w:p>
          <w:p w:rsidR="00345A87" w:rsidRPr="00E70776" w:rsidRDefault="0004613E" w:rsidP="00E70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5A87" w:rsidRPr="00E70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Если работник принят в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основному месту работы с неполным рабочим временем, то остаток неиспользованных средств, предусмотренных на оказание материальной помощи, выплачивается пропорционально занимаемой штатной единице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7D" w:rsidRPr="00E70776" w:rsidRDefault="0004613E" w:rsidP="00E70776">
            <w:pPr>
              <w:pStyle w:val="ConsPlus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п.2.3.1. 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абзацем 2 следующего содержания:</w:t>
            </w:r>
          </w:p>
          <w:p w:rsidR="007F2308" w:rsidRPr="0081070C" w:rsidRDefault="0037327D" w:rsidP="0081070C">
            <w:pPr>
              <w:pStyle w:val="ConsPlusNormal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размер единовременной выплаты на оздоровление (ЕВО), как правило, при уходе в трудовой отпуск (отпуск) </w:t>
            </w:r>
            <w:proofErr w:type="spellStart"/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устанавливаются нормы часов </w:t>
            </w:r>
            <w:proofErr w:type="spellStart"/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педнагрузки</w:t>
            </w:r>
            <w:proofErr w:type="spellEnd"/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за ставку, будет определяться из расчета 0,5 оклада с 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учетом </w:t>
            </w:r>
            <w:proofErr w:type="spellStart"/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педнагрузки</w:t>
            </w:r>
            <w:proofErr w:type="spellEnd"/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21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45A87" w:rsidRPr="00E70776" w:rsidRDefault="00345A87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порядке и условиях установления надбавок стимулирующего характера к окладам работников Волковысского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C44B73" w:rsidRDefault="00345A87" w:rsidP="00C44B7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E70776">
              <w:rPr>
                <w:sz w:val="24"/>
                <w:szCs w:val="24"/>
              </w:rPr>
              <w:t xml:space="preserve">исключить </w:t>
            </w:r>
            <w:r w:rsidR="0037327D" w:rsidRPr="00E70776">
              <w:rPr>
                <w:sz w:val="24"/>
                <w:szCs w:val="24"/>
              </w:rPr>
              <w:t xml:space="preserve">раздел </w:t>
            </w:r>
            <w:r w:rsidRPr="00E70776">
              <w:rPr>
                <w:sz w:val="24"/>
                <w:szCs w:val="24"/>
              </w:rPr>
              <w:t xml:space="preserve">6 </w:t>
            </w:r>
            <w:r w:rsidR="0037327D" w:rsidRPr="00E70776">
              <w:rPr>
                <w:sz w:val="24"/>
                <w:szCs w:val="24"/>
              </w:rPr>
              <w:t>«</w:t>
            </w:r>
            <w:r w:rsidRPr="00E70776">
              <w:rPr>
                <w:sz w:val="24"/>
                <w:szCs w:val="24"/>
              </w:rPr>
              <w:t>Надбавка за сложность и напряженность труда</w:t>
            </w:r>
            <w:r w:rsidR="0037327D" w:rsidRPr="00E70776">
              <w:rPr>
                <w:sz w:val="24"/>
                <w:szCs w:val="24"/>
              </w:rPr>
              <w:t>»;</w:t>
            </w:r>
          </w:p>
          <w:p w:rsidR="0037327D" w:rsidRPr="00C44B73" w:rsidRDefault="00345A87" w:rsidP="00C44B73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C44B73">
              <w:rPr>
                <w:sz w:val="24"/>
                <w:szCs w:val="24"/>
              </w:rPr>
              <w:t>дополнить п.</w:t>
            </w:r>
            <w:r w:rsidR="0037327D" w:rsidRPr="00C44B73">
              <w:rPr>
                <w:sz w:val="24"/>
                <w:szCs w:val="24"/>
              </w:rPr>
              <w:t xml:space="preserve"> </w:t>
            </w:r>
            <w:r w:rsidRPr="00C44B73">
              <w:rPr>
                <w:sz w:val="24"/>
                <w:szCs w:val="24"/>
              </w:rPr>
              <w:t>4.1.</w:t>
            </w:r>
            <w:r w:rsidR="0037327D" w:rsidRPr="00C44B73">
              <w:rPr>
                <w:sz w:val="24"/>
                <w:szCs w:val="24"/>
              </w:rPr>
              <w:t xml:space="preserve"> </w:t>
            </w:r>
            <w:r w:rsidR="0037327D" w:rsidRPr="00C44B73">
              <w:rPr>
                <w:color w:val="000000"/>
                <w:sz w:val="24"/>
                <w:szCs w:val="24"/>
              </w:rPr>
              <w:t>«</w:t>
            </w:r>
            <w:r w:rsidR="0037327D" w:rsidRPr="00C44B73">
              <w:rPr>
                <w:b/>
                <w:sz w:val="24"/>
                <w:szCs w:val="24"/>
              </w:rPr>
              <w:t>Заместителям директора по учебной работе, воспитательной работе, производственному обучению»</w:t>
            </w:r>
            <w:r w:rsidR="0037327D" w:rsidRPr="00C44B73">
              <w:rPr>
                <w:sz w:val="24"/>
                <w:szCs w:val="24"/>
              </w:rPr>
              <w:t xml:space="preserve"> подпунктом 4.1.12 </w:t>
            </w:r>
            <w:r w:rsidR="0037327D" w:rsidRPr="00C44B73">
              <w:rPr>
                <w:color w:val="000000"/>
                <w:sz w:val="24"/>
                <w:szCs w:val="24"/>
              </w:rPr>
              <w:t>следующего содержания:</w:t>
            </w:r>
          </w:p>
          <w:p w:rsidR="00345A87" w:rsidRPr="00E70776" w:rsidRDefault="0037327D" w:rsidP="00E70776">
            <w:pPr>
              <w:pStyle w:val="2"/>
              <w:shd w:val="clear" w:color="auto" w:fill="auto"/>
              <w:tabs>
                <w:tab w:val="left" w:pos="1114"/>
              </w:tabs>
              <w:spacing w:after="0" w:line="240" w:lineRule="auto"/>
              <w:ind w:left="20"/>
              <w:rPr>
                <w:sz w:val="24"/>
                <w:szCs w:val="24"/>
              </w:rPr>
            </w:pPr>
            <w:r w:rsidRPr="00E70776">
              <w:rPr>
                <w:sz w:val="24"/>
                <w:szCs w:val="24"/>
              </w:rPr>
              <w:t>«</w:t>
            </w:r>
            <w:r w:rsidR="00345A87" w:rsidRPr="00E70776">
              <w:rPr>
                <w:sz w:val="24"/>
                <w:szCs w:val="24"/>
              </w:rPr>
              <w:t>за руководство экспериментальной и инновационной деятельностью в сфере образования – до 50%</w:t>
            </w:r>
            <w:r w:rsidRPr="00E70776">
              <w:rPr>
                <w:sz w:val="24"/>
                <w:szCs w:val="24"/>
              </w:rPr>
              <w:t>»</w:t>
            </w:r>
            <w:r w:rsidR="00345A87" w:rsidRPr="00E70776">
              <w:rPr>
                <w:sz w:val="24"/>
                <w:szCs w:val="24"/>
              </w:rPr>
              <w:t>.</w:t>
            </w:r>
          </w:p>
          <w:p w:rsidR="0037327D" w:rsidRPr="00E70776" w:rsidRDefault="0037327D" w:rsidP="00E70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4 </w:t>
            </w:r>
            <w:r w:rsidR="00345A87"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унктами </w:t>
            </w:r>
            <w:r w:rsidR="00345A87"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  <w:r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>-4.25.</w:t>
            </w:r>
            <w:r w:rsidRPr="00E70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содержания:</w:t>
            </w:r>
          </w:p>
          <w:p w:rsidR="00345A87" w:rsidRPr="00E70776" w:rsidRDefault="0037327D" w:rsidP="00E70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«4.23. </w:t>
            </w:r>
            <w:r w:rsidR="00345A87" w:rsidRPr="00E70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Инженеру-программисту</w:t>
            </w:r>
            <w:r w:rsidR="00345A87" w:rsidRPr="00E707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4.23.1. обеспечение технической поддержки информационных систем, программ и приложений в сети Интернет колледжа – до 10 %.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4.23.2. оперативное устранение возникающих сбоев в работе ПЭВМ на рабочих местах специалистов и компьютерных классах – до 20 %.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4.23.3. оказание квалифицированной помощи комиссии по государственным закупкам в приобретении колледжем ПЭВМ – до 20 %</w:t>
            </w:r>
            <w:r w:rsidR="0037327D" w:rsidRPr="00E7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87" w:rsidRPr="00E70776" w:rsidRDefault="00345A87" w:rsidP="00E7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4.24 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Архивариусу: 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4.24.1. Оформление и поддержание в актуальном состоянии цифрового каталога 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дело производства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– до 20%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4.24.2. Оказание помощи руководителям подразделения по составлению номенклатуры де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до 20%</w:t>
            </w:r>
          </w:p>
          <w:p w:rsidR="00345A87" w:rsidRPr="00E70776" w:rsidRDefault="00345A87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4.24.3. Оперативность при подборе и предоставлении по поступающим запросам необходимой информации – до 10%</w:t>
            </w:r>
          </w:p>
          <w:p w:rsidR="00345A87" w:rsidRPr="00E70776" w:rsidRDefault="00345A87" w:rsidP="00E70776">
            <w:pPr>
              <w:pStyle w:val="2"/>
              <w:shd w:val="clear" w:color="auto" w:fill="auto"/>
              <w:tabs>
                <w:tab w:val="left" w:pos="1114"/>
              </w:tabs>
              <w:spacing w:after="0" w:line="240" w:lineRule="auto"/>
              <w:ind w:left="20"/>
              <w:rPr>
                <w:sz w:val="24"/>
                <w:szCs w:val="24"/>
              </w:rPr>
            </w:pPr>
            <w:r w:rsidRPr="00E70776">
              <w:rPr>
                <w:sz w:val="24"/>
                <w:szCs w:val="24"/>
              </w:rPr>
              <w:t xml:space="preserve">4.25 – </w:t>
            </w:r>
            <w:r w:rsidRPr="00E70776">
              <w:rPr>
                <w:b/>
                <w:sz w:val="24"/>
                <w:szCs w:val="24"/>
              </w:rPr>
              <w:t xml:space="preserve">работникам колледжа, осуществляющим </w:t>
            </w:r>
            <w:proofErr w:type="spellStart"/>
            <w:r w:rsidRPr="00E70776">
              <w:rPr>
                <w:b/>
                <w:sz w:val="24"/>
                <w:szCs w:val="24"/>
              </w:rPr>
              <w:t>профориентационную</w:t>
            </w:r>
            <w:proofErr w:type="spellEnd"/>
            <w:r w:rsidRPr="00E70776">
              <w:rPr>
                <w:b/>
                <w:sz w:val="24"/>
                <w:szCs w:val="24"/>
              </w:rPr>
              <w:t xml:space="preserve"> деятельность</w:t>
            </w:r>
            <w:r w:rsidRPr="00E70776">
              <w:rPr>
                <w:sz w:val="24"/>
                <w:szCs w:val="24"/>
              </w:rPr>
              <w:t xml:space="preserve"> – до 50 %.</w:t>
            </w:r>
          </w:p>
          <w:p w:rsidR="0037327D" w:rsidRPr="00E70776" w:rsidRDefault="0037327D" w:rsidP="00E70776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п.4.9.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4.9.5. 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содержания:</w:t>
            </w:r>
          </w:p>
          <w:p w:rsidR="00345A87" w:rsidRPr="00E70776" w:rsidRDefault="0037327D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«4.9. 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Заведующему библиотекой, библиотекарю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за напряженный объем работы с книжным фондом при приеме учебников за учебный год (в июне), а также при выдаче учебных пособий на новый учебный год (в сентябре) – до 10 %.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27D" w:rsidRPr="00E70776" w:rsidRDefault="00345A87" w:rsidP="00E70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внести изменения в п.</w:t>
            </w:r>
            <w:r w:rsidR="0037327D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4.18.5. </w:t>
            </w:r>
            <w:r w:rsidR="0037327D" w:rsidRPr="00E70776">
              <w:rPr>
                <w:rFonts w:ascii="Times New Roman" w:hAnsi="Times New Roman" w:cs="Times New Roman"/>
                <w:sz w:val="24"/>
                <w:szCs w:val="24"/>
              </w:rPr>
              <w:t>и изложить его в следующей редакции:</w:t>
            </w:r>
          </w:p>
          <w:p w:rsidR="00345A87" w:rsidRPr="00E70776" w:rsidRDefault="0037327D" w:rsidP="00E7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126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4.18.5.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рабочих профессий (а именно уборщикам служебных помещений) за обеспечение своевременного проведения противоэпидемических мероприятий – 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до 30 %.</w:t>
            </w:r>
            <w:r w:rsidR="007D1126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1126" w:rsidRPr="00E70776" w:rsidRDefault="007D1126" w:rsidP="00E70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п. 4.19.2. и изложить его в следующей редакции:</w:t>
            </w:r>
          </w:p>
          <w:p w:rsidR="00345A87" w:rsidRPr="00E70776" w:rsidRDefault="007D1126" w:rsidP="00E70776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4.19.2. 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Администратору сайта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50 %.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1126" w:rsidRPr="00E70776" w:rsidRDefault="007D1126" w:rsidP="00E70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внести изменения в п. 4.21. и изложить его в следующей редакции:</w:t>
            </w:r>
          </w:p>
          <w:p w:rsidR="00345A87" w:rsidRPr="00E70776" w:rsidRDefault="007D1126" w:rsidP="00E7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345A87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работникам осуществляющим организацию и проведение закупок для нужд колледжа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5A87" w:rsidRPr="00E70776" w:rsidRDefault="00345A87" w:rsidP="00E7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4.21.1 председателю комиссии – до 30 %.</w:t>
            </w:r>
          </w:p>
          <w:p w:rsidR="00345A87" w:rsidRPr="00E70776" w:rsidRDefault="00345A87" w:rsidP="00E7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4.21.2 членам комиссии – до 15 %.</w:t>
            </w:r>
          </w:p>
          <w:p w:rsidR="00345A87" w:rsidRPr="00E70776" w:rsidRDefault="00345A87" w:rsidP="00E7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4.21.3 секретарю комиссии – до 30 %.</w:t>
            </w:r>
            <w:r w:rsidR="007D1126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7054" w:rsidRPr="00E70776" w:rsidRDefault="00387054" w:rsidP="00E70776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подпунктом 4.5.19 </w:t>
            </w: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содержания:</w:t>
            </w:r>
          </w:p>
          <w:p w:rsidR="00345A87" w:rsidRPr="00E70776" w:rsidRDefault="00387054" w:rsidP="00E7077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4.5.19. За привлечение спонсорской помощи, направленной на укрепление материально-технической базы колледжа – до 20 %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054" w:rsidRPr="00E70776" w:rsidRDefault="00387054" w:rsidP="00E70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Пункт 4.5.14</w:t>
            </w:r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>. изложить в следующей редакции:</w:t>
            </w:r>
          </w:p>
          <w:p w:rsidR="008928C2" w:rsidRPr="00E70776" w:rsidRDefault="008928C2" w:rsidP="00E707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«4.5.14. </w:t>
            </w:r>
            <w:proofErr w:type="gramStart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степень:</w:t>
            </w:r>
          </w:p>
          <w:p w:rsidR="008928C2" w:rsidRPr="00E70776" w:rsidRDefault="008928C2" w:rsidP="00E707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магистра – до 10 процентов;</w:t>
            </w:r>
          </w:p>
          <w:p w:rsidR="008928C2" w:rsidRPr="00E70776" w:rsidRDefault="008928C2" w:rsidP="00E707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кандидата – до 20 процентов;</w:t>
            </w:r>
          </w:p>
          <w:p w:rsidR="007F2308" w:rsidRPr="00E70776" w:rsidRDefault="00345A87" w:rsidP="00E707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лица, освоившие образовательную программу аспирантуры с присвоением научной квалификации «Исследователь» - до 10 %</w:t>
            </w:r>
            <w:r w:rsidR="008928C2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lastRenderedPageBreak/>
              <w:t>Приложение 22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345A87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установлении надбавок за характер труда педагогическим работникам Волковысского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345A87" w:rsidRPr="00E70776" w:rsidRDefault="008928C2" w:rsidP="00E7077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п.2.2. исключить</w:t>
            </w:r>
            <w:r w:rsidR="00345A87" w:rsidRPr="00E7077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слова «</w:t>
            </w:r>
            <w:r w:rsidR="00345A87" w:rsidRPr="00E70776">
              <w:rPr>
                <w:rFonts w:ascii="Times New Roman" w:hAnsi="Times New Roman" w:cs="Times New Roman"/>
                <w:sz w:val="24"/>
                <w:szCs w:val="24"/>
              </w:rPr>
              <w:t>руководителям из числа педагогических работников» согласно Постановлению Министерства образования РБ от 25.11.2020 г №286 «О порядке осуществления и размерах стимулирующих и компенсирующих выплат работникам бюджетных организаций»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23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8928C2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премировании работников Лидского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8928C2" w:rsidRPr="00E70776" w:rsidRDefault="008928C2" w:rsidP="00E70776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Раздел 2 изложить в следующей редакции:</w:t>
            </w:r>
          </w:p>
          <w:p w:rsidR="003149AA" w:rsidRPr="00E70776" w:rsidRDefault="008928C2" w:rsidP="00E70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«2.1. Премиальный фонд формируется:</w:t>
            </w:r>
          </w:p>
          <w:p w:rsidR="003149AA" w:rsidRPr="00E70776" w:rsidRDefault="003149AA" w:rsidP="00E70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2.1.1. за счет бюджетных </w:t>
            </w:r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на премирование работников 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28C2"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от суммы окладов работников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9AA" w:rsidRPr="00E70776" w:rsidRDefault="003149AA" w:rsidP="00E70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>2.1.2. за счет экономии средств, предусмотренных н оплату труда (направляется на дополнительное премирование работников к праздникам);</w:t>
            </w:r>
          </w:p>
          <w:p w:rsidR="008928C2" w:rsidRPr="00E70776" w:rsidRDefault="003149AA" w:rsidP="00E70776">
            <w:pPr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2.1.3. за счет </w:t>
            </w:r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>средств от внебюджетной деятельности колледжа в размерах, предусмотренных законодательством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0776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 w:rsidRPr="00E70776">
              <w:rPr>
                <w:rFonts w:ascii="Times New Roman" w:hAnsi="Times New Roman" w:cs="Times New Roman"/>
                <w:sz w:val="24"/>
                <w:szCs w:val="24"/>
              </w:rPr>
              <w:t xml:space="preserve"> от суммы окладов работников по каждому виду внебюджетной деятельности)</w:t>
            </w:r>
            <w:proofErr w:type="gramStart"/>
            <w:r w:rsidR="008928C2" w:rsidRPr="00E7077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24</w:t>
            </w:r>
          </w:p>
          <w:p w:rsidR="007F2308" w:rsidRPr="00E70776" w:rsidRDefault="008928C2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оказании материальной помощи работникам Лидского колледжа 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25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8928C2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стимулирующих выплатах работникам Лидского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26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3149AA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премировании работников Технологического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 xml:space="preserve"> колледжа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учреждения образования «Гродненский государственный университет имени Янки Купалы»</w:t>
            </w:r>
          </w:p>
          <w:p w:rsidR="003149AA" w:rsidRPr="00E70776" w:rsidRDefault="003149AA" w:rsidP="00E7077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Подпункт 2.1.1. изложить в следующей редакции:</w:t>
            </w:r>
          </w:p>
          <w:p w:rsidR="003149AA" w:rsidRPr="00E70776" w:rsidRDefault="003149AA" w:rsidP="00E7077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«2.1.1. средств, предусматриваемых в соответствующих бюджетах, в размере </w:t>
            </w: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20 процентов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от суммы окладов работников» 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lastRenderedPageBreak/>
              <w:t>Приложение 27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3149AA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Положение о стимулирующих выплатах (надбавки) и компенсирующих (доплаты) выплатах работникам Технологического 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be-BY" w:eastAsia="ru-RU"/>
              </w:rPr>
              <w:t>колледжа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учреждения образования «Гродненский государственный университет имени Янки Купалы»</w:t>
            </w:r>
          </w:p>
        </w:tc>
      </w:tr>
      <w:tr w:rsidR="007F2308" w:rsidRPr="00E70776" w:rsidTr="007E789A">
        <w:tc>
          <w:tcPr>
            <w:tcW w:w="15134" w:type="dxa"/>
          </w:tcPr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28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2308" w:rsidRPr="00E70776" w:rsidRDefault="007F2308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оказании материальной помощи и единовременной выплате работникам Технологического колледжа  учреждения образования «Гродненский государственный университет имени Янки Купалы»</w:t>
            </w:r>
          </w:p>
        </w:tc>
      </w:tr>
      <w:tr w:rsidR="00E70776" w:rsidRPr="00E70776" w:rsidTr="007E789A">
        <w:tc>
          <w:tcPr>
            <w:tcW w:w="15134" w:type="dxa"/>
          </w:tcPr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29</w:t>
            </w:r>
          </w:p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премировании работников Института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</w:p>
          <w:p w:rsidR="00E70776" w:rsidRPr="00E70776" w:rsidRDefault="00E70776" w:rsidP="00E70776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Пункт 2.1.1. изложить в следующей редакции:</w:t>
            </w:r>
          </w:p>
          <w:p w:rsidR="00E70776" w:rsidRPr="00E70776" w:rsidRDefault="00E70776" w:rsidP="00E70776">
            <w:pPr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«за счет внебюджетных средств от приносящей доходы деятельности в размере </w:t>
            </w: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20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E7077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eastAsia="ru-RU"/>
              </w:rPr>
              <w:t>процентов</w:t>
            </w: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от суммы окладов работников»</w:t>
            </w:r>
          </w:p>
        </w:tc>
      </w:tr>
      <w:tr w:rsidR="00E70776" w:rsidRPr="00E70776" w:rsidTr="007E789A">
        <w:tc>
          <w:tcPr>
            <w:tcW w:w="15134" w:type="dxa"/>
          </w:tcPr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30</w:t>
            </w:r>
          </w:p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 стимулирующих выплатах  работникам Института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</w:p>
        </w:tc>
      </w:tr>
      <w:tr w:rsidR="00E70776" w:rsidRPr="00E70776" w:rsidTr="007E789A">
        <w:tc>
          <w:tcPr>
            <w:tcW w:w="15134" w:type="dxa"/>
          </w:tcPr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  <w:t>Приложение 31</w:t>
            </w:r>
          </w:p>
          <w:p w:rsidR="00E70776" w:rsidRPr="00E70776" w:rsidRDefault="00E70776" w:rsidP="00E70776">
            <w:pPr>
              <w:kinsoku w:val="0"/>
              <w:overflowPunct w:val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7077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Положение об оказании материальной помощи и единовременной выплате работникам Института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</w:p>
        </w:tc>
      </w:tr>
    </w:tbl>
    <w:p w:rsidR="004D3863" w:rsidRPr="00E70776" w:rsidRDefault="004D3863" w:rsidP="00E7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863" w:rsidRPr="00E70776" w:rsidSect="007277C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07"/>
    <w:multiLevelType w:val="hybridMultilevel"/>
    <w:tmpl w:val="28EC6234"/>
    <w:lvl w:ilvl="0" w:tplc="E0A81E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3EC7F22"/>
    <w:multiLevelType w:val="multilevel"/>
    <w:tmpl w:val="0A3864A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7F5AF8"/>
    <w:multiLevelType w:val="hybridMultilevel"/>
    <w:tmpl w:val="8D8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56F"/>
    <w:multiLevelType w:val="multilevel"/>
    <w:tmpl w:val="DFE85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9358F7"/>
    <w:multiLevelType w:val="multilevel"/>
    <w:tmpl w:val="7B5AB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2C5901E2"/>
    <w:multiLevelType w:val="multilevel"/>
    <w:tmpl w:val="CDC8F5D0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cstheme="minorBidi" w:hint="default"/>
        <w:b w:val="0"/>
        <w:sz w:val="22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6">
    <w:nsid w:val="2C6D0C76"/>
    <w:multiLevelType w:val="hybridMultilevel"/>
    <w:tmpl w:val="8D8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904AE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F2E783E"/>
    <w:multiLevelType w:val="multilevel"/>
    <w:tmpl w:val="5596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31653AC"/>
    <w:multiLevelType w:val="multilevel"/>
    <w:tmpl w:val="8670D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440718"/>
    <w:multiLevelType w:val="multilevel"/>
    <w:tmpl w:val="9580B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  <w:u w:val="none"/>
      </w:rPr>
    </w:lvl>
  </w:abstractNum>
  <w:abstractNum w:abstractNumId="11">
    <w:nsid w:val="4B6E7D9F"/>
    <w:multiLevelType w:val="multilevel"/>
    <w:tmpl w:val="42BA63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33"/>
        </w:tabs>
        <w:ind w:left="5033" w:hanging="7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12">
    <w:nsid w:val="52A12E3C"/>
    <w:multiLevelType w:val="hybridMultilevel"/>
    <w:tmpl w:val="9C2A6DAA"/>
    <w:lvl w:ilvl="0" w:tplc="B4721158">
      <w:start w:val="4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127D7D"/>
    <w:multiLevelType w:val="multilevel"/>
    <w:tmpl w:val="D7F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BD0B39"/>
    <w:multiLevelType w:val="multilevel"/>
    <w:tmpl w:val="08F85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9B54881"/>
    <w:multiLevelType w:val="multilevel"/>
    <w:tmpl w:val="6230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F75BEE"/>
    <w:multiLevelType w:val="multilevel"/>
    <w:tmpl w:val="1D000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658915CF"/>
    <w:multiLevelType w:val="multilevel"/>
    <w:tmpl w:val="04FA42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65D7354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F0F5059"/>
    <w:multiLevelType w:val="multilevel"/>
    <w:tmpl w:val="B49667D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cs="Times New Roman" w:hint="default"/>
      </w:rPr>
    </w:lvl>
  </w:abstractNum>
  <w:abstractNum w:abstractNumId="20">
    <w:nsid w:val="6FC6563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F9432F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1"/>
    <w:rsid w:val="0004613E"/>
    <w:rsid w:val="00115954"/>
    <w:rsid w:val="001562E9"/>
    <w:rsid w:val="001C2730"/>
    <w:rsid w:val="0028458B"/>
    <w:rsid w:val="002D1E85"/>
    <w:rsid w:val="003149AA"/>
    <w:rsid w:val="00317576"/>
    <w:rsid w:val="00330FDD"/>
    <w:rsid w:val="00345A87"/>
    <w:rsid w:val="0037327D"/>
    <w:rsid w:val="00383681"/>
    <w:rsid w:val="00387054"/>
    <w:rsid w:val="003906AE"/>
    <w:rsid w:val="0046109E"/>
    <w:rsid w:val="004961AB"/>
    <w:rsid w:val="004D3863"/>
    <w:rsid w:val="0050050A"/>
    <w:rsid w:val="005252B0"/>
    <w:rsid w:val="0055314C"/>
    <w:rsid w:val="00585F9F"/>
    <w:rsid w:val="00593EF4"/>
    <w:rsid w:val="005F20C1"/>
    <w:rsid w:val="006C5E88"/>
    <w:rsid w:val="006D5A50"/>
    <w:rsid w:val="007277CD"/>
    <w:rsid w:val="00757DB7"/>
    <w:rsid w:val="00782033"/>
    <w:rsid w:val="007D1126"/>
    <w:rsid w:val="007D59C5"/>
    <w:rsid w:val="007E27A4"/>
    <w:rsid w:val="007F2308"/>
    <w:rsid w:val="0081070C"/>
    <w:rsid w:val="008928C2"/>
    <w:rsid w:val="008A7015"/>
    <w:rsid w:val="008E0E94"/>
    <w:rsid w:val="009F4A2A"/>
    <w:rsid w:val="00A06EC7"/>
    <w:rsid w:val="00A30B80"/>
    <w:rsid w:val="00A57EE5"/>
    <w:rsid w:val="00B92263"/>
    <w:rsid w:val="00C16D07"/>
    <w:rsid w:val="00C44B73"/>
    <w:rsid w:val="00C752EB"/>
    <w:rsid w:val="00C7567C"/>
    <w:rsid w:val="00C908DD"/>
    <w:rsid w:val="00D1531E"/>
    <w:rsid w:val="00D33362"/>
    <w:rsid w:val="00D556EE"/>
    <w:rsid w:val="00D6679B"/>
    <w:rsid w:val="00D811F6"/>
    <w:rsid w:val="00DF3AEE"/>
    <w:rsid w:val="00E2487E"/>
    <w:rsid w:val="00E57F25"/>
    <w:rsid w:val="00E70776"/>
    <w:rsid w:val="00E91994"/>
    <w:rsid w:val="00EB11F1"/>
    <w:rsid w:val="00EC5253"/>
    <w:rsid w:val="00EE4413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F4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45A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45A87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F4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45A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45A87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САКОМСКАЯ ГАЛИНА СТЕПАНОВНА</cp:lastModifiedBy>
  <cp:revision>9</cp:revision>
  <cp:lastPrinted>2021-05-22T10:03:00Z</cp:lastPrinted>
  <dcterms:created xsi:type="dcterms:W3CDTF">2021-05-17T10:10:00Z</dcterms:created>
  <dcterms:modified xsi:type="dcterms:W3CDTF">2021-06-04T08:19:00Z</dcterms:modified>
</cp:coreProperties>
</file>